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25" w:rsidRPr="00665019" w:rsidRDefault="001E7B25" w:rsidP="001E7B25">
      <w:pPr>
        <w:widowControl w:val="0"/>
        <w:autoSpaceDE w:val="0"/>
        <w:autoSpaceDN w:val="0"/>
        <w:adjustRightInd w:val="0"/>
        <w:spacing w:after="0" w:line="240" w:lineRule="auto"/>
        <w:jc w:val="center"/>
        <w:rPr>
          <w:rFonts w:ascii="Arial" w:hAnsi="Arial" w:cs="Arial"/>
          <w:b/>
          <w:bCs/>
          <w:color w:val="FF0000"/>
          <w:kern w:val="28"/>
          <w:sz w:val="40"/>
          <w:szCs w:val="40"/>
        </w:rPr>
      </w:pPr>
      <w:r w:rsidRPr="007D7609">
        <w:rPr>
          <w:b/>
          <w:bCs/>
          <w:noProof/>
          <w:color w:val="000066"/>
          <w:sz w:val="54"/>
          <w:szCs w:val="54"/>
        </w:rPr>
        <w:pict>
          <v:shapetype id="_x0000_t202" coordsize="21600,21600" o:spt="202" path="m,l,21600r21600,l21600,xe">
            <v:stroke joinstyle="miter"/>
            <v:path gradientshapeok="t" o:connecttype="rect"/>
          </v:shapetype>
          <v:shape id="_x0000_s1026" type="#_x0000_t202" style="position:absolute;left:0;text-align:left;margin-left:-5.75pt;margin-top:-22.65pt;width:72.9pt;height:101.35pt;z-index:251660288;mso-width-relative:margin;mso-height-relative:margin" stroked="f">
            <v:textbox style="mso-next-textbox:#_x0000_s1026">
              <w:txbxContent>
                <w:p w:rsidR="001E7B25" w:rsidRDefault="001E7B25" w:rsidP="001E7B25">
                  <w:r w:rsidRPr="004B03ED">
                    <w:rPr>
                      <w:noProof/>
                    </w:rPr>
                    <w:drawing>
                      <wp:inline distT="0" distB="0" distL="0" distR="0">
                        <wp:extent cx="619125" cy="1012452"/>
                        <wp:effectExtent l="19050" t="0" r="0" b="0"/>
                        <wp:docPr id="13" name="Picture 21"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icchristianacademyhs.org/publishImages/index~~element189.jpg"/>
                                <pic:cNvPicPr>
                                  <a:picLocks noChangeAspect="1" noChangeArrowheads="1"/>
                                </pic:cNvPicPr>
                              </pic:nvPicPr>
                              <pic:blipFill>
                                <a:blip r:embed="rId6"/>
                                <a:srcRect/>
                                <a:stretch>
                                  <a:fillRect/>
                                </a:stretch>
                              </pic:blipFill>
                              <pic:spPr bwMode="auto">
                                <a:xfrm>
                                  <a:off x="0" y="0"/>
                                  <a:ext cx="619690" cy="1013377"/>
                                </a:xfrm>
                                <a:prstGeom prst="rect">
                                  <a:avLst/>
                                </a:prstGeom>
                                <a:noFill/>
                                <a:ln w="9525">
                                  <a:noFill/>
                                  <a:miter lim="800000"/>
                                  <a:headEnd/>
                                  <a:tailEnd/>
                                </a:ln>
                              </pic:spPr>
                            </pic:pic>
                          </a:graphicData>
                        </a:graphic>
                      </wp:inline>
                    </w:drawing>
                  </w:r>
                </w:p>
              </w:txbxContent>
            </v:textbox>
          </v:shape>
        </w:pict>
      </w:r>
      <w:r>
        <w:rPr>
          <w:rFonts w:ascii="Arial" w:hAnsi="Arial" w:cs="Arial"/>
          <w:b/>
          <w:bCs/>
          <w:color w:val="1F497D"/>
          <w:kern w:val="28"/>
          <w:sz w:val="40"/>
          <w:szCs w:val="40"/>
        </w:rPr>
        <w:t xml:space="preserve">ATLANTIC </w:t>
      </w:r>
      <w:r w:rsidRPr="00E97802">
        <w:rPr>
          <w:rFonts w:ascii="Arial" w:hAnsi="Arial" w:cs="Arial"/>
          <w:b/>
          <w:bCs/>
          <w:color w:val="1F497D"/>
          <w:kern w:val="28"/>
          <w:sz w:val="40"/>
          <w:szCs w:val="40"/>
        </w:rPr>
        <w:t>CHRISTIAN ACADEMY</w:t>
      </w:r>
    </w:p>
    <w:p w:rsidR="001E7B25" w:rsidRPr="00E06B1D" w:rsidRDefault="001E7B25" w:rsidP="001E7B25">
      <w:pPr>
        <w:pStyle w:val="NoSpacing"/>
        <w:tabs>
          <w:tab w:val="left" w:pos="1620"/>
          <w:tab w:val="center" w:pos="4680"/>
          <w:tab w:val="left" w:pos="8145"/>
        </w:tabs>
        <w:jc w:val="center"/>
        <w:rPr>
          <w:sz w:val="20"/>
          <w:szCs w:val="20"/>
        </w:rPr>
      </w:pPr>
      <w:r w:rsidRPr="00E06B1D">
        <w:rPr>
          <w:sz w:val="20"/>
          <w:szCs w:val="20"/>
        </w:rPr>
        <w:t>Independent, international autonomous global high school institution</w:t>
      </w:r>
    </w:p>
    <w:p w:rsidR="001E7B25" w:rsidRPr="00E06B1D" w:rsidRDefault="001E7B25" w:rsidP="001E7B25">
      <w:pPr>
        <w:pStyle w:val="NoSpacing"/>
        <w:jc w:val="center"/>
        <w:rPr>
          <w:sz w:val="20"/>
          <w:szCs w:val="20"/>
        </w:rPr>
      </w:pPr>
      <w:r w:rsidRPr="00E06B1D">
        <w:rPr>
          <w:rFonts w:ascii="Arial" w:hAnsi="Arial"/>
          <w:sz w:val="20"/>
          <w:szCs w:val="20"/>
        </w:rPr>
        <w:t>​</w:t>
      </w:r>
      <w:r w:rsidRPr="00E06B1D">
        <w:rPr>
          <w:rFonts w:cs="Trebuchet MS"/>
          <w:sz w:val="20"/>
          <w:szCs w:val="20"/>
        </w:rPr>
        <w:t>Providing Educational Excellence Since 200</w:t>
      </w:r>
      <w:r w:rsidRPr="00E06B1D">
        <w:rPr>
          <w:sz w:val="20"/>
          <w:szCs w:val="20"/>
        </w:rPr>
        <w:t>8</w:t>
      </w:r>
    </w:p>
    <w:p w:rsidR="001E7B25" w:rsidRDefault="001E7B25" w:rsidP="001E7B25">
      <w:pPr>
        <w:pStyle w:val="NoSpacing"/>
        <w:tabs>
          <w:tab w:val="left" w:pos="1620"/>
          <w:tab w:val="center" w:pos="4680"/>
          <w:tab w:val="left" w:pos="8145"/>
        </w:tabs>
      </w:pPr>
    </w:p>
    <w:p w:rsidR="001E7B25" w:rsidRDefault="001E7B25" w:rsidP="001E7B25">
      <w:pPr>
        <w:pStyle w:val="NoSpacing"/>
        <w:jc w:val="center"/>
        <w:rPr>
          <w:b/>
          <w:color w:val="000000"/>
          <w:sz w:val="24"/>
          <w:szCs w:val="24"/>
        </w:rPr>
      </w:pPr>
      <w:hyperlink r:id="rId7" w:history="1">
        <w:r w:rsidRPr="00E51E1C">
          <w:rPr>
            <w:rStyle w:val="Hyperlink"/>
            <w:b/>
            <w:sz w:val="24"/>
            <w:szCs w:val="24"/>
          </w:rPr>
          <w:t>www.atlanticchristianacademyhs.org</w:t>
        </w:r>
      </w:hyperlink>
    </w:p>
    <w:p w:rsidR="001E7B25" w:rsidRDefault="001E7B25" w:rsidP="001E7B25">
      <w:pPr>
        <w:pStyle w:val="NoSpacing"/>
        <w:jc w:val="center"/>
        <w:rPr>
          <w:rStyle w:val="Hyperlink"/>
          <w:b/>
          <w:sz w:val="24"/>
          <w:szCs w:val="24"/>
        </w:rPr>
      </w:pPr>
      <w:proofErr w:type="spellStart"/>
      <w:r>
        <w:rPr>
          <w:b/>
          <w:color w:val="000000"/>
          <w:sz w:val="24"/>
          <w:szCs w:val="24"/>
        </w:rPr>
        <w:t>e.mail</w:t>
      </w:r>
      <w:proofErr w:type="spellEnd"/>
      <w:r>
        <w:rPr>
          <w:b/>
          <w:color w:val="000000"/>
          <w:sz w:val="24"/>
          <w:szCs w:val="24"/>
        </w:rPr>
        <w:t xml:space="preserve">: </w:t>
      </w:r>
      <w:r w:rsidRPr="004B03ED">
        <w:rPr>
          <w:b/>
          <w:sz w:val="24"/>
          <w:szCs w:val="24"/>
        </w:rPr>
        <w:t>admin@atlanticchristianacademy</w:t>
      </w:r>
      <w:r>
        <w:rPr>
          <w:b/>
          <w:sz w:val="24"/>
          <w:szCs w:val="24"/>
        </w:rPr>
        <w:t>hs</w:t>
      </w:r>
      <w:r w:rsidRPr="004B03ED">
        <w:rPr>
          <w:b/>
          <w:sz w:val="24"/>
          <w:szCs w:val="24"/>
        </w:rPr>
        <w:t>.</w:t>
      </w:r>
      <w:r>
        <w:rPr>
          <w:b/>
          <w:sz w:val="24"/>
          <w:szCs w:val="24"/>
        </w:rPr>
        <w:t>org</w:t>
      </w:r>
    </w:p>
    <w:p w:rsidR="00AD2EAB" w:rsidRPr="00AD2EAB" w:rsidRDefault="00AD2EAB" w:rsidP="00AD2EAB">
      <w:pPr>
        <w:jc w:val="center"/>
        <w:rPr>
          <w:rFonts w:ascii="Calibri" w:eastAsia="Calibri" w:hAnsi="Calibri" w:cs="Times New Roman"/>
        </w:rPr>
      </w:pPr>
    </w:p>
    <w:p w:rsidR="00AD2EAB" w:rsidRPr="00AD2EAB" w:rsidRDefault="00AD2EAB" w:rsidP="00AD2EAB">
      <w:pPr>
        <w:rPr>
          <w:b/>
          <w:sz w:val="32"/>
          <w:szCs w:val="32"/>
          <w:u w:val="single"/>
        </w:rPr>
      </w:pPr>
      <w:r w:rsidRPr="00AD2EAB">
        <w:rPr>
          <w:b/>
          <w:sz w:val="32"/>
          <w:szCs w:val="32"/>
          <w:u w:val="single"/>
        </w:rPr>
        <w:t>Family Educational Rights and Privacy Act (FERPA)</w:t>
      </w:r>
    </w:p>
    <w:p w:rsidR="00AD2EAB" w:rsidRPr="00AD2EAB" w:rsidRDefault="00AD2EAB" w:rsidP="00AD2EAB">
      <w:pPr>
        <w:rPr>
          <w:sz w:val="24"/>
          <w:szCs w:val="24"/>
        </w:rPr>
      </w:pPr>
      <w:r w:rsidRPr="00AD2EAB">
        <w:rPr>
          <w:sz w:val="24"/>
          <w:szCs w:val="24"/>
        </w:rPr>
        <w:t>The Family Educational Rights and Privacy Act (FERPA) (20 U.S.C. § 1232g; 34 CFR Part 99) is a Federal law that protects the privacy of student education records. The law applies to all schools that receive funds under an applicable program of th</w:t>
      </w:r>
      <w:r>
        <w:rPr>
          <w:sz w:val="24"/>
          <w:szCs w:val="24"/>
        </w:rPr>
        <w:t>e U.S. Department of Education.</w:t>
      </w:r>
    </w:p>
    <w:p w:rsidR="00AD2EAB" w:rsidRPr="00AD2EAB" w:rsidRDefault="00AD2EAB" w:rsidP="00AD2EAB">
      <w:pPr>
        <w:rPr>
          <w:sz w:val="24"/>
          <w:szCs w:val="24"/>
        </w:rPr>
      </w:pPr>
      <w:r w:rsidRPr="00AD2EAB">
        <w:rPr>
          <w:sz w:val="24"/>
          <w:szCs w:val="24"/>
        </w:rPr>
        <w:t>FERPA gives parents certain rights with respect to their children's education records. These rights transfer to the student when he or she reaches the age of 18 or attends a school beyond the high school level. Students to whom the rights have trans</w:t>
      </w:r>
      <w:r>
        <w:rPr>
          <w:sz w:val="24"/>
          <w:szCs w:val="24"/>
        </w:rPr>
        <w:t>ferred are "eligible students."</w:t>
      </w:r>
    </w:p>
    <w:p w:rsidR="00AD2EAB" w:rsidRPr="00AD2EAB" w:rsidRDefault="00AD2EAB" w:rsidP="00AD2EAB">
      <w:pPr>
        <w:rPr>
          <w:sz w:val="24"/>
          <w:szCs w:val="24"/>
        </w:rPr>
      </w:pPr>
      <w:r>
        <w:rPr>
          <w:sz w:val="24"/>
          <w:szCs w:val="24"/>
        </w:rPr>
        <w:t>•</w:t>
      </w:r>
      <w:r w:rsidRPr="00AD2EAB">
        <w:rPr>
          <w:sz w:val="24"/>
          <w:szCs w:val="24"/>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w:t>
      </w:r>
      <w:r>
        <w:rPr>
          <w:sz w:val="24"/>
          <w:szCs w:val="24"/>
        </w:rPr>
        <w:t>ls may charge a fee for copies.</w:t>
      </w:r>
    </w:p>
    <w:p w:rsidR="00AD2EAB" w:rsidRPr="00AD2EAB" w:rsidRDefault="00AD2EAB" w:rsidP="00AD2EAB">
      <w:pPr>
        <w:rPr>
          <w:sz w:val="24"/>
          <w:szCs w:val="24"/>
        </w:rPr>
      </w:pPr>
      <w:r>
        <w:rPr>
          <w:sz w:val="24"/>
          <w:szCs w:val="24"/>
        </w:rPr>
        <w:t>•</w:t>
      </w:r>
      <w:r w:rsidRPr="00AD2EAB">
        <w:rPr>
          <w:sz w:val="24"/>
          <w:szCs w:val="24"/>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w:t>
      </w:r>
      <w:r>
        <w:rPr>
          <w:sz w:val="24"/>
          <w:szCs w:val="24"/>
        </w:rPr>
        <w:t>bout the contested information.</w:t>
      </w:r>
    </w:p>
    <w:p w:rsidR="00AD2EAB" w:rsidRDefault="00AD2EAB" w:rsidP="00AD2EAB">
      <w:pPr>
        <w:rPr>
          <w:sz w:val="24"/>
          <w:szCs w:val="24"/>
        </w:rPr>
      </w:pPr>
      <w:r>
        <w:rPr>
          <w:sz w:val="24"/>
          <w:szCs w:val="24"/>
        </w:rPr>
        <w:t>•</w:t>
      </w:r>
      <w:r w:rsidRPr="00AD2EAB">
        <w:rPr>
          <w:sz w:val="24"/>
          <w:szCs w:val="24"/>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AD2EAB" w:rsidRDefault="00AD2EAB" w:rsidP="00AD2EAB">
      <w:pPr>
        <w:rPr>
          <w:sz w:val="24"/>
          <w:szCs w:val="24"/>
        </w:rPr>
      </w:pPr>
    </w:p>
    <w:p w:rsidR="00AD2EAB" w:rsidRPr="00AD2EAB" w:rsidRDefault="00AD2EAB" w:rsidP="00AD2EAB">
      <w:pPr>
        <w:rPr>
          <w:sz w:val="24"/>
          <w:szCs w:val="24"/>
        </w:rPr>
      </w:pPr>
    </w:p>
    <w:p w:rsidR="00AD2EAB" w:rsidRPr="00AD2EAB" w:rsidRDefault="00AD2EAB" w:rsidP="00AD2EAB">
      <w:pPr>
        <w:pStyle w:val="NoSpacing"/>
      </w:pPr>
      <w:r w:rsidRPr="00AD2EAB">
        <w:t xml:space="preserve"> ◦School officials with l</w:t>
      </w:r>
      <w:r>
        <w:t>egitimate educational interest;</w:t>
      </w:r>
    </w:p>
    <w:p w:rsidR="00AD2EAB" w:rsidRPr="00AD2EAB" w:rsidRDefault="00AD2EAB" w:rsidP="00AD2EAB">
      <w:pPr>
        <w:pStyle w:val="NoSpacing"/>
      </w:pPr>
      <w:r w:rsidRPr="00AD2EAB">
        <w:t xml:space="preserve">◦ </w:t>
      </w:r>
      <w:proofErr w:type="gramStart"/>
      <w:r w:rsidRPr="00AD2EAB">
        <w:t>Other</w:t>
      </w:r>
      <w:proofErr w:type="gramEnd"/>
      <w:r w:rsidRPr="00AD2EAB">
        <w:t xml:space="preserve"> schools to w</w:t>
      </w:r>
      <w:r>
        <w:t>hich a student is transferring;</w:t>
      </w:r>
    </w:p>
    <w:p w:rsidR="00AD2EAB" w:rsidRPr="00AD2EAB" w:rsidRDefault="00AD2EAB" w:rsidP="00AD2EAB">
      <w:pPr>
        <w:pStyle w:val="NoSpacing"/>
      </w:pPr>
      <w:r w:rsidRPr="00AD2EAB">
        <w:t>◦ Specified officials fo</w:t>
      </w:r>
      <w:r>
        <w:t>r audit or evaluation purposes;</w:t>
      </w:r>
    </w:p>
    <w:p w:rsidR="00AD2EAB" w:rsidRPr="00AD2EAB" w:rsidRDefault="00AD2EAB" w:rsidP="00AD2EAB">
      <w:pPr>
        <w:pStyle w:val="NoSpacing"/>
      </w:pPr>
      <w:r w:rsidRPr="00AD2EAB">
        <w:t>◦ Appropriate parties in connection w</w:t>
      </w:r>
      <w:r>
        <w:t>ith financial aid to a student;</w:t>
      </w:r>
    </w:p>
    <w:p w:rsidR="00AD2EAB" w:rsidRPr="00AD2EAB" w:rsidRDefault="00AD2EAB" w:rsidP="00AD2EAB">
      <w:pPr>
        <w:pStyle w:val="NoSpacing"/>
      </w:pPr>
      <w:r w:rsidRPr="00AD2EAB">
        <w:t xml:space="preserve">◦ Organizations conducting certain studies </w:t>
      </w:r>
      <w:r>
        <w:t>for or on behalf of the school;</w:t>
      </w:r>
    </w:p>
    <w:p w:rsidR="00AD2EAB" w:rsidRPr="00AD2EAB" w:rsidRDefault="00AD2EAB" w:rsidP="00AD2EAB">
      <w:pPr>
        <w:pStyle w:val="NoSpacing"/>
      </w:pPr>
      <w:r w:rsidRPr="00AD2EAB">
        <w:lastRenderedPageBreak/>
        <w:t>◦</w:t>
      </w:r>
      <w:r>
        <w:t xml:space="preserve"> Accrediting organizations;</w:t>
      </w:r>
    </w:p>
    <w:p w:rsidR="00AD2EAB" w:rsidRPr="00AD2EAB" w:rsidRDefault="00AD2EAB" w:rsidP="00AD2EAB">
      <w:pPr>
        <w:pStyle w:val="NoSpacing"/>
      </w:pPr>
      <w:r w:rsidRPr="00AD2EAB">
        <w:t xml:space="preserve">◦ </w:t>
      </w:r>
      <w:proofErr w:type="gramStart"/>
      <w:r w:rsidRPr="00AD2EAB">
        <w:t>To</w:t>
      </w:r>
      <w:proofErr w:type="gramEnd"/>
      <w:r w:rsidRPr="00AD2EAB">
        <w:t xml:space="preserve"> comply with a judicial orde</w:t>
      </w:r>
      <w:r>
        <w:t xml:space="preserve">r or lawfully issued subpoena; </w:t>
      </w:r>
    </w:p>
    <w:p w:rsidR="00AD2EAB" w:rsidRPr="00AD2EAB" w:rsidRDefault="00AD2EAB" w:rsidP="00AD2EAB">
      <w:pPr>
        <w:pStyle w:val="NoSpacing"/>
      </w:pPr>
      <w:r w:rsidRPr="00AD2EAB">
        <w:t>◦ Appropriate officials in cases of hea</w:t>
      </w:r>
      <w:r>
        <w:t>lth and safety emergencies; and</w:t>
      </w:r>
    </w:p>
    <w:p w:rsidR="00AD2EAB" w:rsidRPr="00AD2EAB" w:rsidRDefault="00AD2EAB" w:rsidP="00AD2EAB">
      <w:pPr>
        <w:pStyle w:val="NoSpacing"/>
      </w:pPr>
      <w:proofErr w:type="gramStart"/>
      <w:r w:rsidRPr="00AD2EAB">
        <w:t>◦ State and local authorities, within a juvenile justice system, pursuant to specific State law.</w:t>
      </w:r>
      <w:proofErr w:type="gramEnd"/>
    </w:p>
    <w:p w:rsidR="00AD2EAB" w:rsidRPr="00AD2EAB" w:rsidRDefault="00AD2EAB" w:rsidP="00AD2EAB">
      <w:pPr>
        <w:pStyle w:val="NoSpacing"/>
      </w:pPr>
      <w:r>
        <w:t xml:space="preserve"> </w:t>
      </w:r>
    </w:p>
    <w:p w:rsidR="00AD2EAB" w:rsidRPr="00AD2EAB" w:rsidRDefault="00AD2EAB" w:rsidP="00AD2EAB">
      <w:pPr>
        <w:rPr>
          <w:sz w:val="24"/>
          <w:szCs w:val="24"/>
        </w:rPr>
      </w:pPr>
      <w:r w:rsidRPr="00AD2EAB">
        <w:rPr>
          <w:sz w:val="24"/>
          <w:szCs w:val="24"/>
        </w:rP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w:t>
      </w:r>
      <w:r>
        <w:rPr>
          <w:sz w:val="24"/>
          <w:szCs w:val="24"/>
        </w:rPr>
        <w:t xml:space="preserve"> the discretion of each school.</w:t>
      </w:r>
    </w:p>
    <w:p w:rsidR="00AD2EAB" w:rsidRPr="00AD2EAB" w:rsidRDefault="00AD2EAB" w:rsidP="00AD2EAB">
      <w:pPr>
        <w:rPr>
          <w:sz w:val="24"/>
          <w:szCs w:val="24"/>
        </w:rPr>
      </w:pPr>
      <w:r w:rsidRPr="00AD2EAB">
        <w:rPr>
          <w:sz w:val="24"/>
          <w:szCs w:val="24"/>
        </w:rPr>
        <w:t>For additional information, you may call 1-800-USA-LEARN (1-800-872-5327) (voice). Individuals who use TDD may</w:t>
      </w:r>
      <w:r>
        <w:rPr>
          <w:sz w:val="24"/>
          <w:szCs w:val="24"/>
        </w:rPr>
        <w:t xml:space="preserve"> use the Federal Relay Service.</w:t>
      </w:r>
    </w:p>
    <w:p w:rsidR="00AD2EAB" w:rsidRPr="00AD2EAB" w:rsidRDefault="00AD2EAB" w:rsidP="00AD2EAB">
      <w:pPr>
        <w:rPr>
          <w:sz w:val="24"/>
          <w:szCs w:val="24"/>
        </w:rPr>
      </w:pPr>
      <w:r w:rsidRPr="00AD2EAB">
        <w:rPr>
          <w:sz w:val="24"/>
          <w:szCs w:val="24"/>
        </w:rPr>
        <w:t>Or you may contac</w:t>
      </w:r>
      <w:r>
        <w:rPr>
          <w:sz w:val="24"/>
          <w:szCs w:val="24"/>
        </w:rPr>
        <w:t xml:space="preserve">t us at the following address: </w:t>
      </w:r>
    </w:p>
    <w:p w:rsidR="00AD2EAB" w:rsidRPr="00AD2EAB" w:rsidRDefault="00AD2EAB" w:rsidP="00AD2EAB">
      <w:pPr>
        <w:pStyle w:val="NoSpacing"/>
        <w:rPr>
          <w:b/>
        </w:rPr>
      </w:pPr>
      <w:r w:rsidRPr="00AD2EAB">
        <w:rPr>
          <w:b/>
        </w:rPr>
        <w:t>Family Policy Compliance Office</w:t>
      </w:r>
    </w:p>
    <w:p w:rsidR="00AD2EAB" w:rsidRPr="00AD2EAB" w:rsidRDefault="00AD2EAB" w:rsidP="00AD2EAB">
      <w:pPr>
        <w:pStyle w:val="NoSpacing"/>
        <w:rPr>
          <w:b/>
        </w:rPr>
      </w:pPr>
      <w:r w:rsidRPr="00AD2EAB">
        <w:rPr>
          <w:b/>
        </w:rPr>
        <w:t>U.S. Department of Education</w:t>
      </w:r>
    </w:p>
    <w:p w:rsidR="00AD2EAB" w:rsidRPr="00AD2EAB" w:rsidRDefault="00AD2EAB" w:rsidP="00AD2EAB">
      <w:pPr>
        <w:pStyle w:val="NoSpacing"/>
        <w:rPr>
          <w:b/>
        </w:rPr>
      </w:pPr>
      <w:r w:rsidRPr="00AD2EAB">
        <w:rPr>
          <w:b/>
        </w:rPr>
        <w:t>400 Maryland Avenue, SW</w:t>
      </w:r>
    </w:p>
    <w:p w:rsidR="00AD2EAB" w:rsidRPr="00AD2EAB" w:rsidRDefault="00AD2EAB" w:rsidP="00AD2EAB">
      <w:pPr>
        <w:pStyle w:val="NoSpacing"/>
        <w:rPr>
          <w:b/>
        </w:rPr>
      </w:pPr>
      <w:r w:rsidRPr="00AD2EAB">
        <w:rPr>
          <w:b/>
        </w:rPr>
        <w:t>Washington, D.C. 20202-8520</w:t>
      </w:r>
    </w:p>
    <w:p w:rsidR="00AD2EAB" w:rsidRDefault="00AD2EAB" w:rsidP="00AD2EAB">
      <w:pPr>
        <w:rPr>
          <w:b/>
          <w:sz w:val="32"/>
          <w:szCs w:val="32"/>
        </w:rPr>
      </w:pPr>
    </w:p>
    <w:p w:rsidR="00AD2EAB" w:rsidRDefault="00AD2EAB" w:rsidP="00AD2EAB">
      <w:pPr>
        <w:rPr>
          <w:b/>
          <w:sz w:val="32"/>
          <w:szCs w:val="32"/>
        </w:rPr>
      </w:pPr>
    </w:p>
    <w:p w:rsidR="00AD2EAB" w:rsidRDefault="00AD2EAB" w:rsidP="00AD2EAB">
      <w:pPr>
        <w:rPr>
          <w:b/>
          <w:sz w:val="32"/>
          <w:szCs w:val="32"/>
        </w:rPr>
      </w:pPr>
    </w:p>
    <w:p w:rsidR="00AD2EAB" w:rsidRDefault="00AD2EAB" w:rsidP="00AD2EAB">
      <w:pPr>
        <w:rPr>
          <w:b/>
          <w:sz w:val="32"/>
          <w:szCs w:val="32"/>
        </w:rPr>
      </w:pPr>
    </w:p>
    <w:p w:rsidR="00AD2EAB" w:rsidRDefault="00AD2EAB" w:rsidP="00AD2EAB">
      <w:pPr>
        <w:rPr>
          <w:b/>
          <w:sz w:val="32"/>
          <w:szCs w:val="32"/>
        </w:rPr>
      </w:pPr>
    </w:p>
    <w:p w:rsidR="00AD2EAB" w:rsidRDefault="00AD2EAB" w:rsidP="00AD2EAB">
      <w:pPr>
        <w:rPr>
          <w:b/>
          <w:sz w:val="32"/>
          <w:szCs w:val="32"/>
        </w:rPr>
      </w:pPr>
    </w:p>
    <w:p w:rsidR="00AD2EAB" w:rsidRDefault="00AD2EAB" w:rsidP="00AD2EAB">
      <w:pPr>
        <w:rPr>
          <w:b/>
          <w:sz w:val="32"/>
          <w:szCs w:val="32"/>
        </w:rPr>
      </w:pPr>
    </w:p>
    <w:p w:rsidR="00AD2EAB" w:rsidRDefault="0082035A" w:rsidP="00AD2EAB">
      <w:pPr>
        <w:rPr>
          <w:b/>
          <w:sz w:val="32"/>
          <w:szCs w:val="32"/>
        </w:rPr>
      </w:pPr>
      <w:r>
        <w:rPr>
          <w:b/>
          <w:sz w:val="32"/>
          <w:szCs w:val="32"/>
        </w:rPr>
        <w:t>ICA FERPA</w:t>
      </w:r>
    </w:p>
    <w:p w:rsidR="00AD2EAB" w:rsidRPr="00AD2EAB" w:rsidRDefault="00AD2EAB" w:rsidP="00AD2EAB">
      <w:pPr>
        <w:rPr>
          <w:b/>
          <w:sz w:val="32"/>
          <w:szCs w:val="32"/>
          <w:u w:val="single"/>
        </w:rPr>
      </w:pPr>
      <w:r w:rsidRPr="00AD2EAB">
        <w:rPr>
          <w:b/>
          <w:sz w:val="32"/>
          <w:szCs w:val="32"/>
          <w:u w:val="single"/>
        </w:rPr>
        <w:t>History of FERPA</w:t>
      </w:r>
    </w:p>
    <w:p w:rsidR="00AD2EAB" w:rsidRDefault="00AD2EAB" w:rsidP="00AD2EAB">
      <w:r w:rsidRPr="00AD2EAB">
        <w:lastRenderedPageBreak/>
        <w:t>The Family Educational Rights and Privacy Act of 1974 (FERPA or the Buckley Amendment) is a United States federal law</w:t>
      </w:r>
    </w:p>
    <w:p w:rsidR="00AD2EAB" w:rsidRDefault="00AD2EAB" w:rsidP="00AD2EAB">
      <w:r>
        <w:t>FERPA gives parents access to their child's education records, an opportunity to seek to have the records amended, and some control over the disclosure of information from the records. With several exceptions, schools must have a student's consent prior to the disclosure of education records after that student is 18 years old. The law only applies to educational agencies and institutions that receive funding under a program administered by the U.S. Department of Education.</w:t>
      </w:r>
    </w:p>
    <w:p w:rsidR="00AD2EAB" w:rsidRDefault="00AD2EAB" w:rsidP="00AD2EAB">
      <w:r>
        <w:t>Examples of situations affected by FERPA include school employees divulging information to anyone other than the student about the student's grades or behavior, and school work posted on a bulletin board with a grade. Generally, schools must have written permission from the parent or eligible student in order to release any information from a student's education record.</w:t>
      </w:r>
    </w:p>
    <w:p w:rsidR="00AD2EAB" w:rsidRDefault="00AD2EAB" w:rsidP="00AD2EAB">
      <w:r>
        <w:t>This privacy policy also governs how state agencies transmit testing data to federal agencies. For example see Education Data Network.</w:t>
      </w:r>
    </w:p>
    <w:p w:rsidR="00AD2EAB" w:rsidRDefault="00AD2EAB" w:rsidP="00AD2EAB">
      <w:r>
        <w:t>This U.S. federal law also gave students 18 years old or older, or students of any age if enrolled in any postsecondary educational institution, the right of privacy regarding grades, enrollment, and even billing information, unless the school has specific permission from the student to share that specific type of information.</w:t>
      </w:r>
    </w:p>
    <w:p w:rsidR="00AD2EAB" w:rsidRDefault="00AD2EAB" w:rsidP="00AD2EAB">
      <w:r>
        <w:t>FERPA also permits a school to disclose personally identifiable information from education records of an "eligible student" (a student age 18 or older or enrolled in a postsecondary institution at any age) to his or her parents if the student is a "dependent student" as that term is defined in Section 152 of the Internal Revenue Code. Generally, if either parent has claimed the student as a dependent on the parent's most recent income tax statement, the school may non-consensually disclose the student's educa</w:t>
      </w:r>
      <w:r w:rsidR="002D1911">
        <w:t>tion records to both parents.</w:t>
      </w:r>
    </w:p>
    <w:p w:rsidR="00AD2EAB" w:rsidRDefault="00AD2EAB" w:rsidP="00AD2EAB">
      <w:r>
        <w:t>The law allowed students who apply to an educational institution such as graduate school permission to view recommendations submitted by others as part of the application. However, on standard application forms, students are given the option to waive this right.</w:t>
      </w:r>
    </w:p>
    <w:p w:rsidR="00AD2EAB" w:rsidRDefault="00AD2EAB" w:rsidP="00AD2EAB">
      <w:r>
        <w:t>FERPA specifically excluded employees of an educational institution if they are not students.</w:t>
      </w:r>
    </w:p>
    <w:p w:rsidR="006951E1" w:rsidRDefault="00AD2EAB" w:rsidP="00AD2EAB">
      <w:r>
        <w:t>The act is also referred to as the Buckley Amendment, for one of its proponents, Senator James L. Buckley of New York</w:t>
      </w:r>
    </w:p>
    <w:sectPr w:rsidR="006951E1" w:rsidSect="00D71D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B53" w:rsidRDefault="00666B53" w:rsidP="005E3B62">
      <w:pPr>
        <w:spacing w:after="0" w:line="240" w:lineRule="auto"/>
      </w:pPr>
      <w:r>
        <w:separator/>
      </w:r>
    </w:p>
  </w:endnote>
  <w:endnote w:type="continuationSeparator" w:id="0">
    <w:p w:rsidR="00666B53" w:rsidRDefault="00666B53" w:rsidP="005E3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62" w:rsidRDefault="005E3B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62" w:rsidRDefault="005E3B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62" w:rsidRDefault="005E3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B53" w:rsidRDefault="00666B53" w:rsidP="005E3B62">
      <w:pPr>
        <w:spacing w:after="0" w:line="240" w:lineRule="auto"/>
      </w:pPr>
      <w:r>
        <w:separator/>
      </w:r>
    </w:p>
  </w:footnote>
  <w:footnote w:type="continuationSeparator" w:id="0">
    <w:p w:rsidR="00666B53" w:rsidRDefault="00666B53" w:rsidP="005E3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62" w:rsidRDefault="005E3B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89698" o:spid="_x0000_s2050"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Arial Black&quot;;font-size:1pt" string="A.C.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62" w:rsidRDefault="005E3B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89699" o:spid="_x0000_s2051" type="#_x0000_t136" style="position:absolute;margin-left:0;margin-top:0;width:494.9pt;height:164.95pt;rotation:315;z-index:-251652096;mso-position-horizontal:center;mso-position-horizontal-relative:margin;mso-position-vertical:center;mso-position-vertical-relative:margin" o:allowincell="f" fillcolor="silver" stroked="f">
          <v:fill opacity=".5"/>
          <v:textpath style="font-family:&quot;Arial Black&quot;;font-size:1pt" string="A.C.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B62" w:rsidRDefault="005E3B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89697" o:spid="_x0000_s2049"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Arial Black&quot;;font-size:1pt" string="A.C.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D2EAB"/>
    <w:rsid w:val="001E7B25"/>
    <w:rsid w:val="002D1911"/>
    <w:rsid w:val="00453369"/>
    <w:rsid w:val="005E3B62"/>
    <w:rsid w:val="00666B53"/>
    <w:rsid w:val="006951E1"/>
    <w:rsid w:val="0082035A"/>
    <w:rsid w:val="00913B45"/>
    <w:rsid w:val="00AD2EAB"/>
    <w:rsid w:val="00D71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D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2EAB"/>
    <w:pPr>
      <w:spacing w:after="0" w:line="240" w:lineRule="auto"/>
    </w:pPr>
  </w:style>
  <w:style w:type="paragraph" w:styleId="BalloonText">
    <w:name w:val="Balloon Text"/>
    <w:basedOn w:val="Normal"/>
    <w:link w:val="BalloonTextChar"/>
    <w:uiPriority w:val="99"/>
    <w:semiHidden/>
    <w:unhideWhenUsed/>
    <w:rsid w:val="00AD2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AB"/>
    <w:rPr>
      <w:rFonts w:ascii="Tahoma" w:hAnsi="Tahoma" w:cs="Tahoma"/>
      <w:sz w:val="16"/>
      <w:szCs w:val="16"/>
    </w:rPr>
  </w:style>
  <w:style w:type="character" w:styleId="Hyperlink">
    <w:name w:val="Hyperlink"/>
    <w:basedOn w:val="DefaultParagraphFont"/>
    <w:uiPriority w:val="99"/>
    <w:unhideWhenUsed/>
    <w:rsid w:val="001E7B25"/>
    <w:rPr>
      <w:color w:val="0000FF" w:themeColor="hyperlink"/>
      <w:u w:val="single"/>
    </w:rPr>
  </w:style>
  <w:style w:type="paragraph" w:styleId="Header">
    <w:name w:val="header"/>
    <w:basedOn w:val="Normal"/>
    <w:link w:val="HeaderChar"/>
    <w:uiPriority w:val="99"/>
    <w:semiHidden/>
    <w:unhideWhenUsed/>
    <w:rsid w:val="005E3B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3B62"/>
  </w:style>
  <w:style w:type="paragraph" w:styleId="Footer">
    <w:name w:val="footer"/>
    <w:basedOn w:val="Normal"/>
    <w:link w:val="FooterChar"/>
    <w:uiPriority w:val="99"/>
    <w:semiHidden/>
    <w:unhideWhenUsed/>
    <w:rsid w:val="005E3B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3B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2EAB"/>
    <w:pPr>
      <w:spacing w:after="0" w:line="240" w:lineRule="auto"/>
    </w:pPr>
  </w:style>
  <w:style w:type="paragraph" w:styleId="BalloonText">
    <w:name w:val="Balloon Text"/>
    <w:basedOn w:val="Normal"/>
    <w:link w:val="BalloonTextChar"/>
    <w:uiPriority w:val="99"/>
    <w:semiHidden/>
    <w:unhideWhenUsed/>
    <w:rsid w:val="00AD2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tlanticchristianacademyhs.org"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Alfonso</dc:creator>
  <cp:lastModifiedBy>J Alfonso</cp:lastModifiedBy>
  <cp:revision>4</cp:revision>
  <dcterms:created xsi:type="dcterms:W3CDTF">2016-07-07T01:27:00Z</dcterms:created>
  <dcterms:modified xsi:type="dcterms:W3CDTF">2016-07-07T01:29:00Z</dcterms:modified>
</cp:coreProperties>
</file>